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5FA3" w14:textId="77777777" w:rsidR="006D2E29" w:rsidRPr="00EF2757" w:rsidRDefault="006D2E29" w:rsidP="009F565B">
      <w:pPr>
        <w:ind w:left="-1440" w:right="-1440"/>
        <w:jc w:val="center"/>
        <w:rPr>
          <w:b/>
          <w:sz w:val="23"/>
          <w:szCs w:val="23"/>
        </w:rPr>
      </w:pPr>
      <w:r w:rsidRPr="00EF2757">
        <w:rPr>
          <w:b/>
          <w:sz w:val="23"/>
          <w:szCs w:val="23"/>
        </w:rPr>
        <w:t xml:space="preserve">COLUMBIA COUNTY </w:t>
      </w:r>
      <w:r w:rsidR="00D81AA6" w:rsidRPr="00EF2757">
        <w:rPr>
          <w:b/>
          <w:sz w:val="23"/>
          <w:szCs w:val="23"/>
        </w:rPr>
        <w:t xml:space="preserve">COMMUNITY </w:t>
      </w:r>
      <w:r w:rsidRPr="00EF2757">
        <w:rPr>
          <w:b/>
          <w:sz w:val="23"/>
          <w:szCs w:val="23"/>
        </w:rPr>
        <w:t>HEALTHCARE CONSORTIUM</w:t>
      </w:r>
      <w:r w:rsidR="00D81AA6" w:rsidRPr="00EF2757">
        <w:rPr>
          <w:b/>
          <w:sz w:val="23"/>
          <w:szCs w:val="23"/>
        </w:rPr>
        <w:t>. INC.</w:t>
      </w:r>
    </w:p>
    <w:p w14:paraId="0A1DEC99" w14:textId="77777777" w:rsidR="006D2E29" w:rsidRPr="00EF2757" w:rsidRDefault="006D2E29" w:rsidP="009F565B">
      <w:pPr>
        <w:ind w:left="-1440" w:right="-1440"/>
        <w:jc w:val="center"/>
        <w:rPr>
          <w:b/>
          <w:sz w:val="23"/>
          <w:szCs w:val="23"/>
        </w:rPr>
      </w:pPr>
      <w:r w:rsidRPr="00EF2757">
        <w:rPr>
          <w:b/>
          <w:sz w:val="23"/>
          <w:szCs w:val="23"/>
        </w:rPr>
        <w:t>MEETING NOTES</w:t>
      </w:r>
    </w:p>
    <w:p w14:paraId="390A7124" w14:textId="77777777" w:rsidR="006D2E29" w:rsidRPr="00EF2757" w:rsidRDefault="006D2E29" w:rsidP="009F565B">
      <w:pPr>
        <w:ind w:left="-1440" w:right="-1440"/>
        <w:jc w:val="both"/>
        <w:rPr>
          <w:sz w:val="23"/>
          <w:szCs w:val="23"/>
        </w:rP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gridCol w:w="5400"/>
      </w:tblGrid>
      <w:tr w:rsidR="006D2E29" w:rsidRPr="00EF2757" w14:paraId="6755BB3C" w14:textId="77777777" w:rsidTr="00967BE0">
        <w:tc>
          <w:tcPr>
            <w:tcW w:w="9180" w:type="dxa"/>
            <w:gridSpan w:val="2"/>
          </w:tcPr>
          <w:p w14:paraId="60A33776" w14:textId="45FD4A6F" w:rsidR="006D2E29" w:rsidRPr="00EF2757" w:rsidRDefault="006D2E29" w:rsidP="003128AC">
            <w:pPr>
              <w:jc w:val="both"/>
              <w:rPr>
                <w:b/>
                <w:sz w:val="23"/>
                <w:szCs w:val="23"/>
              </w:rPr>
            </w:pPr>
            <w:r w:rsidRPr="00EF2757">
              <w:rPr>
                <w:b/>
                <w:sz w:val="23"/>
                <w:szCs w:val="23"/>
              </w:rPr>
              <w:t xml:space="preserve">Committee:   </w:t>
            </w:r>
            <w:r w:rsidR="004C104F" w:rsidRPr="00EF2757">
              <w:rPr>
                <w:b/>
                <w:sz w:val="23"/>
                <w:szCs w:val="23"/>
              </w:rPr>
              <w:t xml:space="preserve">     </w:t>
            </w:r>
            <w:r w:rsidR="00E91034" w:rsidRPr="00EF2757">
              <w:rPr>
                <w:b/>
                <w:sz w:val="23"/>
                <w:szCs w:val="23"/>
              </w:rPr>
              <w:t>Budget and Finance</w:t>
            </w:r>
            <w:r w:rsidR="00453765" w:rsidRPr="00EF2757">
              <w:rPr>
                <w:b/>
                <w:sz w:val="23"/>
                <w:szCs w:val="23"/>
              </w:rPr>
              <w:t xml:space="preserve"> </w:t>
            </w:r>
          </w:p>
        </w:tc>
        <w:tc>
          <w:tcPr>
            <w:tcW w:w="5400" w:type="dxa"/>
          </w:tcPr>
          <w:p w14:paraId="70938B59" w14:textId="5D089376" w:rsidR="0055133D" w:rsidRPr="00EF2757" w:rsidRDefault="006D2E29" w:rsidP="00F6297B">
            <w:pPr>
              <w:jc w:val="both"/>
              <w:rPr>
                <w:b/>
                <w:sz w:val="23"/>
                <w:szCs w:val="23"/>
              </w:rPr>
            </w:pPr>
            <w:r w:rsidRPr="00EF2757">
              <w:rPr>
                <w:b/>
                <w:sz w:val="23"/>
                <w:szCs w:val="23"/>
              </w:rPr>
              <w:t xml:space="preserve">Date:   </w:t>
            </w:r>
            <w:r w:rsidR="00482802" w:rsidRPr="00EF2757">
              <w:rPr>
                <w:b/>
                <w:sz w:val="23"/>
                <w:szCs w:val="23"/>
              </w:rPr>
              <w:t xml:space="preserve">  </w:t>
            </w:r>
            <w:r w:rsidR="000812A9" w:rsidRPr="00EF2757">
              <w:rPr>
                <w:b/>
                <w:sz w:val="23"/>
                <w:szCs w:val="23"/>
              </w:rPr>
              <w:t>January 28, 2025</w:t>
            </w:r>
          </w:p>
        </w:tc>
      </w:tr>
      <w:tr w:rsidR="00D81AA6" w:rsidRPr="00EF2757" w14:paraId="5B6DBC69" w14:textId="77777777" w:rsidTr="00967BE0">
        <w:trPr>
          <w:trHeight w:val="275"/>
        </w:trPr>
        <w:tc>
          <w:tcPr>
            <w:tcW w:w="9180" w:type="dxa"/>
            <w:gridSpan w:val="2"/>
            <w:vMerge w:val="restart"/>
            <w:vAlign w:val="center"/>
          </w:tcPr>
          <w:p w14:paraId="320B1BEB" w14:textId="060B4FEE" w:rsidR="004E0E7A" w:rsidRPr="00EF2757" w:rsidRDefault="00482802" w:rsidP="00596BFF">
            <w:pPr>
              <w:rPr>
                <w:b/>
                <w:sz w:val="23"/>
                <w:szCs w:val="23"/>
              </w:rPr>
            </w:pPr>
            <w:r w:rsidRPr="00EF2757">
              <w:rPr>
                <w:b/>
                <w:sz w:val="23"/>
                <w:szCs w:val="23"/>
              </w:rPr>
              <w:t>Board</w:t>
            </w:r>
            <w:r w:rsidR="00467110" w:rsidRPr="00EF2757">
              <w:rPr>
                <w:b/>
                <w:sz w:val="23"/>
                <w:szCs w:val="23"/>
              </w:rPr>
              <w:t xml:space="preserve"> </w:t>
            </w:r>
            <w:r w:rsidR="00D81AA6" w:rsidRPr="00EF2757">
              <w:rPr>
                <w:b/>
                <w:sz w:val="23"/>
                <w:szCs w:val="23"/>
              </w:rPr>
              <w:t>Members Attending:</w:t>
            </w:r>
            <w:r w:rsidR="00B006C9" w:rsidRPr="00EF2757">
              <w:rPr>
                <w:b/>
                <w:sz w:val="23"/>
                <w:szCs w:val="23"/>
              </w:rPr>
              <w:t xml:space="preserve">  </w:t>
            </w:r>
            <w:r w:rsidR="002B0A94" w:rsidRPr="00EF2757">
              <w:rPr>
                <w:b/>
                <w:sz w:val="23"/>
                <w:szCs w:val="23"/>
              </w:rPr>
              <w:t xml:space="preserve">Jack Mabb (Chair), Karen Amanna, </w:t>
            </w:r>
            <w:r w:rsidR="000812A9" w:rsidRPr="00EF2757">
              <w:rPr>
                <w:b/>
                <w:sz w:val="23"/>
                <w:szCs w:val="23"/>
              </w:rPr>
              <w:t>Toni Carroll, Bob Gibson, PJ Keeler</w:t>
            </w:r>
            <w:r w:rsidR="000812A9" w:rsidRPr="00EF2757">
              <w:rPr>
                <w:b/>
                <w:sz w:val="23"/>
                <w:szCs w:val="23"/>
              </w:rPr>
              <w:t>,</w:t>
            </w:r>
            <w:r w:rsidR="000812A9" w:rsidRPr="00EF2757">
              <w:rPr>
                <w:b/>
                <w:sz w:val="23"/>
                <w:szCs w:val="23"/>
              </w:rPr>
              <w:t xml:space="preserve"> </w:t>
            </w:r>
            <w:r w:rsidR="002B0A94" w:rsidRPr="00EF2757">
              <w:rPr>
                <w:b/>
                <w:sz w:val="23"/>
                <w:szCs w:val="23"/>
              </w:rPr>
              <w:t>V</w:t>
            </w:r>
            <w:r w:rsidR="004E0E7A" w:rsidRPr="00EF2757">
              <w:rPr>
                <w:b/>
                <w:sz w:val="23"/>
                <w:szCs w:val="23"/>
              </w:rPr>
              <w:t>ictoria McGahan</w:t>
            </w:r>
            <w:r w:rsidR="000812A9" w:rsidRPr="00EF2757">
              <w:rPr>
                <w:b/>
                <w:sz w:val="23"/>
                <w:szCs w:val="23"/>
              </w:rPr>
              <w:t xml:space="preserve">, and </w:t>
            </w:r>
            <w:r w:rsidR="000812A9" w:rsidRPr="00EF2757">
              <w:rPr>
                <w:b/>
                <w:sz w:val="23"/>
                <w:szCs w:val="23"/>
              </w:rPr>
              <w:t>Amanda Pierro</w:t>
            </w:r>
          </w:p>
          <w:p w14:paraId="3D6A7807" w14:textId="551B2FD9" w:rsidR="00467110" w:rsidRPr="00EF2757" w:rsidRDefault="00482802" w:rsidP="000812A9">
            <w:pPr>
              <w:jc w:val="both"/>
              <w:rPr>
                <w:sz w:val="23"/>
                <w:szCs w:val="23"/>
              </w:rPr>
            </w:pPr>
            <w:r w:rsidRPr="00EF2757">
              <w:rPr>
                <w:b/>
                <w:sz w:val="23"/>
                <w:szCs w:val="23"/>
              </w:rPr>
              <w:t>Board</w:t>
            </w:r>
            <w:r w:rsidR="00467110" w:rsidRPr="00EF2757">
              <w:rPr>
                <w:b/>
                <w:sz w:val="23"/>
                <w:szCs w:val="23"/>
              </w:rPr>
              <w:t xml:space="preserve"> Members </w:t>
            </w:r>
            <w:r w:rsidR="00CF09A1" w:rsidRPr="00EF2757">
              <w:rPr>
                <w:b/>
                <w:sz w:val="23"/>
                <w:szCs w:val="23"/>
              </w:rPr>
              <w:t>Absent</w:t>
            </w:r>
            <w:r w:rsidR="00D81AA6" w:rsidRPr="00EF2757">
              <w:rPr>
                <w:b/>
                <w:sz w:val="23"/>
                <w:szCs w:val="23"/>
              </w:rPr>
              <w:t xml:space="preserve">:  </w:t>
            </w:r>
            <w:r w:rsidR="000812A9" w:rsidRPr="00EF2757">
              <w:rPr>
                <w:b/>
                <w:sz w:val="23"/>
                <w:szCs w:val="23"/>
              </w:rPr>
              <w:t>David Rossetti</w:t>
            </w:r>
          </w:p>
        </w:tc>
        <w:tc>
          <w:tcPr>
            <w:tcW w:w="5400" w:type="dxa"/>
          </w:tcPr>
          <w:p w14:paraId="388B84AD" w14:textId="77777777" w:rsidR="00D81AA6" w:rsidRPr="00EF2757" w:rsidRDefault="00D81AA6" w:rsidP="00591B6F">
            <w:pPr>
              <w:jc w:val="both"/>
              <w:rPr>
                <w:b/>
                <w:sz w:val="23"/>
                <w:szCs w:val="23"/>
              </w:rPr>
            </w:pPr>
            <w:r w:rsidRPr="00EF2757">
              <w:rPr>
                <w:b/>
                <w:sz w:val="23"/>
                <w:szCs w:val="23"/>
              </w:rPr>
              <w:t>Guests:</w:t>
            </w:r>
            <w:r w:rsidR="00303441" w:rsidRPr="00EF2757">
              <w:rPr>
                <w:b/>
                <w:sz w:val="23"/>
                <w:szCs w:val="23"/>
              </w:rPr>
              <w:t xml:space="preserve"> </w:t>
            </w:r>
            <w:r w:rsidR="00591B6F" w:rsidRPr="00EF2757">
              <w:rPr>
                <w:b/>
                <w:sz w:val="23"/>
                <w:szCs w:val="23"/>
              </w:rPr>
              <w:t>TJ Pellitteri</w:t>
            </w:r>
          </w:p>
        </w:tc>
      </w:tr>
      <w:tr w:rsidR="00D81AA6" w:rsidRPr="00EF2757" w14:paraId="3179E1E0" w14:textId="77777777" w:rsidTr="00967BE0">
        <w:trPr>
          <w:trHeight w:val="368"/>
        </w:trPr>
        <w:tc>
          <w:tcPr>
            <w:tcW w:w="9180" w:type="dxa"/>
            <w:gridSpan w:val="2"/>
            <w:vMerge/>
          </w:tcPr>
          <w:p w14:paraId="1BE1E0A3" w14:textId="77777777" w:rsidR="00D81AA6" w:rsidRPr="00EF2757" w:rsidRDefault="00D81AA6" w:rsidP="003128AC">
            <w:pPr>
              <w:jc w:val="both"/>
              <w:rPr>
                <w:b/>
                <w:sz w:val="23"/>
                <w:szCs w:val="23"/>
              </w:rPr>
            </w:pPr>
          </w:p>
        </w:tc>
        <w:tc>
          <w:tcPr>
            <w:tcW w:w="5400" w:type="dxa"/>
          </w:tcPr>
          <w:p w14:paraId="4373948C" w14:textId="77777777" w:rsidR="00482802" w:rsidRPr="00EF2757" w:rsidRDefault="00D81AA6" w:rsidP="003128AC">
            <w:pPr>
              <w:rPr>
                <w:b/>
                <w:sz w:val="23"/>
                <w:szCs w:val="23"/>
              </w:rPr>
            </w:pPr>
            <w:r w:rsidRPr="00EF2757">
              <w:rPr>
                <w:b/>
                <w:sz w:val="23"/>
                <w:szCs w:val="23"/>
              </w:rPr>
              <w:t>Staff Members Attending:</w:t>
            </w:r>
            <w:r w:rsidR="004C104F" w:rsidRPr="00EF2757">
              <w:rPr>
                <w:b/>
                <w:sz w:val="23"/>
                <w:szCs w:val="23"/>
              </w:rPr>
              <w:t xml:space="preserve"> </w:t>
            </w:r>
          </w:p>
          <w:p w14:paraId="441695B4" w14:textId="0F076C48" w:rsidR="00D81AA6" w:rsidRPr="00EF2757" w:rsidRDefault="002E630C" w:rsidP="003128AC">
            <w:pPr>
              <w:rPr>
                <w:b/>
                <w:sz w:val="23"/>
                <w:szCs w:val="23"/>
              </w:rPr>
            </w:pPr>
            <w:r w:rsidRPr="00EF2757">
              <w:rPr>
                <w:b/>
                <w:sz w:val="23"/>
                <w:szCs w:val="23"/>
              </w:rPr>
              <w:t>Greg Pettyjohn</w:t>
            </w:r>
            <w:r w:rsidR="00BC4A47" w:rsidRPr="00EF2757">
              <w:rPr>
                <w:b/>
                <w:sz w:val="23"/>
                <w:szCs w:val="23"/>
              </w:rPr>
              <w:t xml:space="preserve"> and </w:t>
            </w:r>
            <w:r w:rsidR="00C61660" w:rsidRPr="00EF2757">
              <w:rPr>
                <w:b/>
                <w:sz w:val="23"/>
                <w:szCs w:val="23"/>
              </w:rPr>
              <w:t>Claire Parde</w:t>
            </w:r>
          </w:p>
        </w:tc>
      </w:tr>
      <w:tr w:rsidR="006D2E29" w:rsidRPr="00EF2757" w14:paraId="7CF55712" w14:textId="77777777" w:rsidTr="00C858C7">
        <w:trPr>
          <w:trHeight w:val="345"/>
        </w:trPr>
        <w:tc>
          <w:tcPr>
            <w:tcW w:w="1800" w:type="dxa"/>
            <w:tcBorders>
              <w:top w:val="single" w:sz="8" w:space="0" w:color="auto"/>
              <w:left w:val="single" w:sz="8" w:space="0" w:color="auto"/>
              <w:bottom w:val="single" w:sz="4" w:space="0" w:color="auto"/>
              <w:right w:val="single" w:sz="8" w:space="0" w:color="auto"/>
            </w:tcBorders>
            <w:vAlign w:val="center"/>
          </w:tcPr>
          <w:p w14:paraId="2BDB0CCB" w14:textId="77777777" w:rsidR="006D2E29" w:rsidRPr="00EF2757" w:rsidRDefault="006D2E29" w:rsidP="00982840">
            <w:pPr>
              <w:rPr>
                <w:b/>
                <w:sz w:val="23"/>
                <w:szCs w:val="23"/>
              </w:rPr>
            </w:pPr>
            <w:r w:rsidRPr="00EF2757">
              <w:rPr>
                <w:b/>
                <w:sz w:val="23"/>
                <w:szCs w:val="23"/>
              </w:rPr>
              <w:t xml:space="preserve">TOPIC </w:t>
            </w:r>
          </w:p>
        </w:tc>
        <w:tc>
          <w:tcPr>
            <w:tcW w:w="12780" w:type="dxa"/>
            <w:gridSpan w:val="2"/>
            <w:tcBorders>
              <w:top w:val="single" w:sz="8" w:space="0" w:color="auto"/>
              <w:left w:val="single" w:sz="8" w:space="0" w:color="auto"/>
              <w:bottom w:val="single" w:sz="4" w:space="0" w:color="auto"/>
              <w:right w:val="single" w:sz="8" w:space="0" w:color="auto"/>
            </w:tcBorders>
            <w:vAlign w:val="center"/>
          </w:tcPr>
          <w:p w14:paraId="0D8686FD" w14:textId="77777777" w:rsidR="006D2E29" w:rsidRPr="00EF2757" w:rsidRDefault="006D2E29" w:rsidP="00982840">
            <w:pPr>
              <w:rPr>
                <w:b/>
                <w:sz w:val="23"/>
                <w:szCs w:val="23"/>
              </w:rPr>
            </w:pPr>
            <w:r w:rsidRPr="00EF2757">
              <w:rPr>
                <w:b/>
                <w:sz w:val="23"/>
                <w:szCs w:val="23"/>
              </w:rPr>
              <w:t>SUMMARY OF TOPIC DISCUSSED</w:t>
            </w:r>
          </w:p>
        </w:tc>
      </w:tr>
      <w:tr w:rsidR="00E93804" w:rsidRPr="00EF2757" w14:paraId="234C233B" w14:textId="77777777" w:rsidTr="00C858C7">
        <w:trPr>
          <w:trHeight w:val="1268"/>
        </w:trPr>
        <w:tc>
          <w:tcPr>
            <w:tcW w:w="1800" w:type="dxa"/>
            <w:tcBorders>
              <w:top w:val="single" w:sz="4" w:space="0" w:color="auto"/>
              <w:left w:val="single" w:sz="8" w:space="0" w:color="auto"/>
              <w:bottom w:val="single" w:sz="4" w:space="0" w:color="auto"/>
              <w:right w:val="single" w:sz="4" w:space="0" w:color="auto"/>
            </w:tcBorders>
            <w:vAlign w:val="center"/>
          </w:tcPr>
          <w:p w14:paraId="6B1A5276" w14:textId="4B355532" w:rsidR="00E93804" w:rsidRPr="00EF2757" w:rsidRDefault="00E93804" w:rsidP="00AE50EC">
            <w:pPr>
              <w:spacing w:before="120" w:after="120"/>
              <w:rPr>
                <w:sz w:val="23"/>
                <w:szCs w:val="23"/>
              </w:rPr>
            </w:pPr>
            <w:r w:rsidRPr="00EF2757">
              <w:rPr>
                <w:sz w:val="23"/>
                <w:szCs w:val="23"/>
              </w:rPr>
              <w:t xml:space="preserve">Advisor Update on the Board-designated Fund </w:t>
            </w:r>
          </w:p>
        </w:tc>
        <w:tc>
          <w:tcPr>
            <w:tcW w:w="12780" w:type="dxa"/>
            <w:gridSpan w:val="2"/>
            <w:tcBorders>
              <w:top w:val="single" w:sz="4" w:space="0" w:color="auto"/>
              <w:left w:val="single" w:sz="4" w:space="0" w:color="auto"/>
              <w:bottom w:val="single" w:sz="4" w:space="0" w:color="auto"/>
            </w:tcBorders>
            <w:vAlign w:val="center"/>
          </w:tcPr>
          <w:p w14:paraId="3B10BDA8" w14:textId="07DF0C80" w:rsidR="000812A9" w:rsidRPr="00EF2757" w:rsidRDefault="00E93804" w:rsidP="000812A9">
            <w:pPr>
              <w:spacing w:before="120" w:after="120"/>
              <w:rPr>
                <w:sz w:val="23"/>
                <w:szCs w:val="23"/>
              </w:rPr>
            </w:pPr>
            <w:r w:rsidRPr="00EF2757">
              <w:rPr>
                <w:sz w:val="23"/>
                <w:szCs w:val="23"/>
              </w:rPr>
              <w:t>The agency’s investment advisor, TJ Pellitteri, provide</w:t>
            </w:r>
            <w:r w:rsidR="00BB14A1" w:rsidRPr="00EF2757">
              <w:rPr>
                <w:sz w:val="23"/>
                <w:szCs w:val="23"/>
              </w:rPr>
              <w:t>d</w:t>
            </w:r>
            <w:r w:rsidRPr="00EF2757">
              <w:rPr>
                <w:sz w:val="23"/>
                <w:szCs w:val="23"/>
              </w:rPr>
              <w:t xml:space="preserve"> a report on the performance of the agency’s Board-designated Fund</w:t>
            </w:r>
            <w:r w:rsidR="004A36AB" w:rsidRPr="00EF2757">
              <w:rPr>
                <w:sz w:val="23"/>
                <w:szCs w:val="23"/>
              </w:rPr>
              <w:t xml:space="preserve">. </w:t>
            </w:r>
            <w:r w:rsidR="00B37260" w:rsidRPr="00EF2757">
              <w:rPr>
                <w:sz w:val="23"/>
                <w:szCs w:val="23"/>
              </w:rPr>
              <w:t xml:space="preserve">TJ noted that </w:t>
            </w:r>
            <w:r w:rsidR="000812A9" w:rsidRPr="00EF2757">
              <w:rPr>
                <w:sz w:val="23"/>
                <w:szCs w:val="23"/>
              </w:rPr>
              <w:t xml:space="preserve">the market was down toward the end of last </w:t>
            </w:r>
            <w:proofErr w:type="gramStart"/>
            <w:r w:rsidR="000812A9" w:rsidRPr="00EF2757">
              <w:rPr>
                <w:sz w:val="23"/>
                <w:szCs w:val="23"/>
              </w:rPr>
              <w:t>year, but</w:t>
            </w:r>
            <w:proofErr w:type="gramEnd"/>
            <w:r w:rsidR="000812A9" w:rsidRPr="00EF2757">
              <w:rPr>
                <w:sz w:val="23"/>
                <w:szCs w:val="23"/>
              </w:rPr>
              <w:t xml:space="preserve"> </w:t>
            </w:r>
            <w:proofErr w:type="gramStart"/>
            <w:r w:rsidR="000812A9" w:rsidRPr="00EF2757">
              <w:rPr>
                <w:sz w:val="23"/>
                <w:szCs w:val="23"/>
              </w:rPr>
              <w:t>has recovered</w:t>
            </w:r>
            <w:proofErr w:type="gramEnd"/>
            <w:r w:rsidR="000812A9" w:rsidRPr="00EF2757">
              <w:rPr>
                <w:sz w:val="23"/>
                <w:szCs w:val="23"/>
              </w:rPr>
              <w:t xml:space="preserve"> pretty nicely. </w:t>
            </w:r>
            <w:r w:rsidR="00C858C7" w:rsidRPr="00EF2757">
              <w:rPr>
                <w:sz w:val="23"/>
                <w:szCs w:val="23"/>
              </w:rPr>
              <w:t xml:space="preserve">He </w:t>
            </w:r>
            <w:r w:rsidR="007F2E3D" w:rsidRPr="00EF2757">
              <w:rPr>
                <w:sz w:val="23"/>
                <w:szCs w:val="23"/>
              </w:rPr>
              <w:t xml:space="preserve">noted that </w:t>
            </w:r>
            <w:r w:rsidR="00921560" w:rsidRPr="00EF2757">
              <w:rPr>
                <w:sz w:val="23"/>
                <w:szCs w:val="23"/>
              </w:rPr>
              <w:t>the portfolio</w:t>
            </w:r>
            <w:r w:rsidR="002B0A94" w:rsidRPr="00EF2757">
              <w:rPr>
                <w:sz w:val="23"/>
                <w:szCs w:val="23"/>
              </w:rPr>
              <w:t xml:space="preserve"> is up </w:t>
            </w:r>
            <w:r w:rsidR="000812A9" w:rsidRPr="00EF2757">
              <w:rPr>
                <w:sz w:val="23"/>
                <w:szCs w:val="23"/>
              </w:rPr>
              <w:t>for the month and YTD</w:t>
            </w:r>
            <w:r w:rsidR="005F7762" w:rsidRPr="00EF2757">
              <w:rPr>
                <w:sz w:val="23"/>
                <w:szCs w:val="23"/>
              </w:rPr>
              <w:t xml:space="preserve"> by</w:t>
            </w:r>
            <w:r w:rsidR="002B0A94" w:rsidRPr="00EF2757">
              <w:rPr>
                <w:sz w:val="23"/>
                <w:szCs w:val="23"/>
              </w:rPr>
              <w:t xml:space="preserve"> about 2.</w:t>
            </w:r>
            <w:r w:rsidR="000812A9" w:rsidRPr="00EF2757">
              <w:rPr>
                <w:sz w:val="23"/>
                <w:szCs w:val="23"/>
              </w:rPr>
              <w:t>73</w:t>
            </w:r>
            <w:r w:rsidR="002B0A94" w:rsidRPr="00EF2757">
              <w:rPr>
                <w:sz w:val="23"/>
                <w:szCs w:val="23"/>
              </w:rPr>
              <w:t>%</w:t>
            </w:r>
            <w:r w:rsidR="005F7762" w:rsidRPr="00EF2757">
              <w:rPr>
                <w:sz w:val="23"/>
                <w:szCs w:val="23"/>
              </w:rPr>
              <w:t xml:space="preserve">, </w:t>
            </w:r>
            <w:r w:rsidR="000812A9" w:rsidRPr="00EF2757">
              <w:rPr>
                <w:sz w:val="23"/>
                <w:szCs w:val="23"/>
              </w:rPr>
              <w:t>over 14% in the past rolling year, and averages over 7% for the life of the account</w:t>
            </w:r>
            <w:r w:rsidR="002B0A94" w:rsidRPr="00EF2757">
              <w:rPr>
                <w:sz w:val="23"/>
                <w:szCs w:val="23"/>
              </w:rPr>
              <w:t xml:space="preserve">. </w:t>
            </w:r>
          </w:p>
          <w:p w14:paraId="225EA0D0" w14:textId="3D1B004D" w:rsidR="00921560" w:rsidRPr="00EF2757" w:rsidRDefault="000812A9" w:rsidP="000812A9">
            <w:pPr>
              <w:spacing w:before="120" w:after="120"/>
              <w:rPr>
                <w:sz w:val="23"/>
                <w:szCs w:val="23"/>
              </w:rPr>
            </w:pPr>
            <w:r w:rsidRPr="00EF2757">
              <w:rPr>
                <w:sz w:val="23"/>
                <w:szCs w:val="23"/>
              </w:rPr>
              <w:t xml:space="preserve">Looking forward, TJ will be </w:t>
            </w:r>
            <w:proofErr w:type="gramStart"/>
            <w:r w:rsidRPr="00EF2757">
              <w:rPr>
                <w:sz w:val="23"/>
                <w:szCs w:val="23"/>
              </w:rPr>
              <w:t>watching</w:t>
            </w:r>
            <w:proofErr w:type="gramEnd"/>
            <w:r w:rsidRPr="00EF2757">
              <w:rPr>
                <w:sz w:val="23"/>
                <w:szCs w:val="23"/>
              </w:rPr>
              <w:t xml:space="preserve"> for market reactions to tariffs and interest rate </w:t>
            </w:r>
            <w:proofErr w:type="gramStart"/>
            <w:r w:rsidRPr="00EF2757">
              <w:rPr>
                <w:sz w:val="23"/>
                <w:szCs w:val="23"/>
              </w:rPr>
              <w:t>changes, but</w:t>
            </w:r>
            <w:proofErr w:type="gramEnd"/>
            <w:r w:rsidRPr="00EF2757">
              <w:rPr>
                <w:sz w:val="23"/>
                <w:szCs w:val="23"/>
              </w:rPr>
              <w:t xml:space="preserve"> doesn’t plan to take action until it’s warranted. Generally, he will be taking a “wait and see” approach; should the market change with speed and aggressiveness, so, too, will we. </w:t>
            </w:r>
          </w:p>
        </w:tc>
      </w:tr>
      <w:tr w:rsidR="00E93804" w:rsidRPr="00EF2757" w14:paraId="4C2258BB" w14:textId="77777777" w:rsidTr="00C858C7">
        <w:trPr>
          <w:trHeight w:val="620"/>
        </w:trPr>
        <w:tc>
          <w:tcPr>
            <w:tcW w:w="1800" w:type="dxa"/>
            <w:tcBorders>
              <w:top w:val="single" w:sz="4" w:space="0" w:color="auto"/>
              <w:left w:val="single" w:sz="8" w:space="0" w:color="auto"/>
              <w:bottom w:val="single" w:sz="4" w:space="0" w:color="auto"/>
              <w:right w:val="single" w:sz="4" w:space="0" w:color="auto"/>
            </w:tcBorders>
            <w:vAlign w:val="center"/>
          </w:tcPr>
          <w:p w14:paraId="3AF055D7" w14:textId="77777777" w:rsidR="00E93804" w:rsidRPr="00EF2757" w:rsidRDefault="00E93804" w:rsidP="00420CFD">
            <w:pPr>
              <w:spacing w:before="120" w:after="120"/>
              <w:rPr>
                <w:sz w:val="23"/>
                <w:szCs w:val="23"/>
              </w:rPr>
            </w:pPr>
            <w:r w:rsidRPr="00EF2757">
              <w:rPr>
                <w:sz w:val="23"/>
                <w:szCs w:val="23"/>
              </w:rPr>
              <w:t>Financial Reports</w:t>
            </w:r>
            <w:r w:rsidRPr="00EF2757">
              <w:rPr>
                <w:sz w:val="23"/>
                <w:szCs w:val="23"/>
              </w:rPr>
              <w:tab/>
              <w:t xml:space="preserve"> </w:t>
            </w:r>
          </w:p>
        </w:tc>
        <w:tc>
          <w:tcPr>
            <w:tcW w:w="12780" w:type="dxa"/>
            <w:gridSpan w:val="2"/>
            <w:tcBorders>
              <w:top w:val="single" w:sz="4" w:space="0" w:color="auto"/>
              <w:left w:val="single" w:sz="4" w:space="0" w:color="auto"/>
              <w:bottom w:val="single" w:sz="4" w:space="0" w:color="auto"/>
            </w:tcBorders>
            <w:vAlign w:val="center"/>
          </w:tcPr>
          <w:p w14:paraId="3119F6EB" w14:textId="60806D62" w:rsidR="00395E82" w:rsidRPr="00EF2757" w:rsidRDefault="00B77A95" w:rsidP="00234B16">
            <w:pPr>
              <w:spacing w:before="120" w:after="120"/>
              <w:rPr>
                <w:sz w:val="23"/>
                <w:szCs w:val="23"/>
              </w:rPr>
            </w:pPr>
            <w:r w:rsidRPr="00EF2757">
              <w:rPr>
                <w:sz w:val="23"/>
                <w:szCs w:val="23"/>
              </w:rPr>
              <w:t>T</w:t>
            </w:r>
            <w:r w:rsidR="006C0E61" w:rsidRPr="00EF2757">
              <w:rPr>
                <w:sz w:val="23"/>
                <w:szCs w:val="23"/>
              </w:rPr>
              <w:t>he Committee review</w:t>
            </w:r>
            <w:r w:rsidRPr="00EF2757">
              <w:rPr>
                <w:sz w:val="23"/>
                <w:szCs w:val="23"/>
              </w:rPr>
              <w:t>ed</w:t>
            </w:r>
            <w:r w:rsidR="006C0E61" w:rsidRPr="00EF2757">
              <w:rPr>
                <w:sz w:val="23"/>
                <w:szCs w:val="23"/>
              </w:rPr>
              <w:t xml:space="preserve"> the </w:t>
            </w:r>
            <w:r w:rsidR="00E93804" w:rsidRPr="00EF2757">
              <w:rPr>
                <w:sz w:val="23"/>
                <w:szCs w:val="23"/>
              </w:rPr>
              <w:t xml:space="preserve">Organization’s </w:t>
            </w:r>
            <w:r w:rsidR="006C0E61" w:rsidRPr="00EF2757">
              <w:rPr>
                <w:sz w:val="23"/>
                <w:szCs w:val="23"/>
              </w:rPr>
              <w:t xml:space="preserve">usual, bimonthly </w:t>
            </w:r>
            <w:r w:rsidR="00E93804" w:rsidRPr="00EF2757">
              <w:rPr>
                <w:sz w:val="23"/>
                <w:szCs w:val="23"/>
              </w:rPr>
              <w:t>Financial Reports, including the Statement of Revenues, Supports and Expenses, A</w:t>
            </w:r>
            <w:r w:rsidRPr="00EF2757">
              <w:rPr>
                <w:sz w:val="23"/>
                <w:szCs w:val="23"/>
              </w:rPr>
              <w:t>ccounts Receivable A</w:t>
            </w:r>
            <w:r w:rsidR="00E93804" w:rsidRPr="00EF2757">
              <w:rPr>
                <w:sz w:val="23"/>
                <w:szCs w:val="23"/>
              </w:rPr>
              <w:t xml:space="preserve">ging </w:t>
            </w:r>
            <w:r w:rsidRPr="00EF2757">
              <w:rPr>
                <w:sz w:val="23"/>
                <w:szCs w:val="23"/>
              </w:rPr>
              <w:t>Report</w:t>
            </w:r>
            <w:r w:rsidR="00E93804" w:rsidRPr="00EF2757">
              <w:rPr>
                <w:sz w:val="23"/>
                <w:szCs w:val="23"/>
              </w:rPr>
              <w:t>, the Statement of Financial Position (Balance Sheet), Statements of Activities (Income Statement)</w:t>
            </w:r>
            <w:r w:rsidR="000812A9" w:rsidRPr="00EF2757">
              <w:rPr>
                <w:sz w:val="23"/>
                <w:szCs w:val="23"/>
              </w:rPr>
              <w:t xml:space="preserve"> for both the agency and transportation program,</w:t>
            </w:r>
            <w:r w:rsidR="00E93804" w:rsidRPr="00EF2757">
              <w:rPr>
                <w:sz w:val="23"/>
                <w:szCs w:val="23"/>
              </w:rPr>
              <w:t xml:space="preserve"> </w:t>
            </w:r>
            <w:r w:rsidRPr="00EF2757">
              <w:rPr>
                <w:sz w:val="23"/>
                <w:szCs w:val="23"/>
              </w:rPr>
              <w:t xml:space="preserve">and </w:t>
            </w:r>
            <w:r w:rsidR="002B0A94" w:rsidRPr="00EF2757">
              <w:rPr>
                <w:sz w:val="23"/>
                <w:szCs w:val="23"/>
              </w:rPr>
              <w:t>the</w:t>
            </w:r>
            <w:r w:rsidR="007C767E" w:rsidRPr="00EF2757">
              <w:rPr>
                <w:sz w:val="23"/>
                <w:szCs w:val="23"/>
              </w:rPr>
              <w:t xml:space="preserve"> “Fiscal Highlights” report, </w:t>
            </w:r>
            <w:r w:rsidR="00E93804" w:rsidRPr="00EF2757">
              <w:rPr>
                <w:sz w:val="23"/>
                <w:szCs w:val="23"/>
              </w:rPr>
              <w:t xml:space="preserve">all of which are current to </w:t>
            </w:r>
            <w:r w:rsidR="000812A9" w:rsidRPr="00EF2757">
              <w:rPr>
                <w:sz w:val="23"/>
                <w:szCs w:val="23"/>
              </w:rPr>
              <w:t xml:space="preserve">December 31, 2024. </w:t>
            </w:r>
            <w:r w:rsidR="006C0E61" w:rsidRPr="00EF2757">
              <w:rPr>
                <w:sz w:val="23"/>
                <w:szCs w:val="23"/>
              </w:rPr>
              <w:t xml:space="preserve"> </w:t>
            </w:r>
            <w:r w:rsidR="000812A9" w:rsidRPr="00EF2757">
              <w:rPr>
                <w:sz w:val="23"/>
                <w:szCs w:val="23"/>
              </w:rPr>
              <w:t>Highlights from the reports include:</w:t>
            </w:r>
            <w:r w:rsidR="00EF2757" w:rsidRPr="00EF2757">
              <w:rPr>
                <w:sz w:val="23"/>
                <w:szCs w:val="23"/>
              </w:rPr>
              <w:t xml:space="preserve"> a</w:t>
            </w:r>
            <w:r w:rsidR="000812A9" w:rsidRPr="00EF2757">
              <w:rPr>
                <w:sz w:val="23"/>
                <w:szCs w:val="23"/>
              </w:rPr>
              <w:t>n increase in cash due to the receipt of $125,000 from the Mother Cabrini Health Foundation and $25,000 from the Hudson River Bank and Trust Foundation</w:t>
            </w:r>
            <w:r w:rsidR="00EF2757" w:rsidRPr="00EF2757">
              <w:rPr>
                <w:sz w:val="23"/>
                <w:szCs w:val="23"/>
              </w:rPr>
              <w:t xml:space="preserve">; </w:t>
            </w:r>
            <w:r w:rsidR="000812A9" w:rsidRPr="00EF2757">
              <w:rPr>
                <w:sz w:val="23"/>
                <w:szCs w:val="23"/>
              </w:rPr>
              <w:t xml:space="preserve">Accounts Receivable that are about average and </w:t>
            </w:r>
            <w:r w:rsidR="00EF2757" w:rsidRPr="00EF2757">
              <w:rPr>
                <w:sz w:val="23"/>
                <w:szCs w:val="23"/>
              </w:rPr>
              <w:t>all considered</w:t>
            </w:r>
            <w:r w:rsidR="000812A9" w:rsidRPr="00EF2757">
              <w:rPr>
                <w:sz w:val="23"/>
                <w:szCs w:val="23"/>
              </w:rPr>
              <w:t xml:space="preserve"> collectible</w:t>
            </w:r>
            <w:r w:rsidR="00EF2757" w:rsidRPr="00EF2757">
              <w:rPr>
                <w:sz w:val="23"/>
                <w:szCs w:val="23"/>
              </w:rPr>
              <w:t xml:space="preserve">; a gain from investments of $29,500, all of which was reinvested and a unrealized gain of $18K; a reduction in the funding from the Columbia County Office for the Aging for 2025; </w:t>
            </w:r>
            <w:r w:rsidR="00EF2757">
              <w:rPr>
                <w:sz w:val="23"/>
                <w:szCs w:val="23"/>
              </w:rPr>
              <w:t xml:space="preserve">expected decreases in both revenue and some expenses that were related to the absence of the Tobacco Contract from NYSDOH. </w:t>
            </w:r>
            <w:r w:rsidR="00810FE8">
              <w:rPr>
                <w:sz w:val="23"/>
                <w:szCs w:val="23"/>
              </w:rPr>
              <w:t xml:space="preserve">In general, the final financial performance in 2024, which ended with a change in unrestricted net assets of roughly $26,700 </w:t>
            </w:r>
            <w:r w:rsidR="00234B16">
              <w:rPr>
                <w:sz w:val="23"/>
                <w:szCs w:val="23"/>
              </w:rPr>
              <w:t xml:space="preserve">that </w:t>
            </w:r>
            <w:r w:rsidR="00810FE8">
              <w:rPr>
                <w:sz w:val="23"/>
                <w:szCs w:val="23"/>
              </w:rPr>
              <w:t xml:space="preserve">was better than the $33,105 loss that had been anticipated. Claire pledged that once we’ve </w:t>
            </w:r>
            <w:r w:rsidR="00234B16">
              <w:rPr>
                <w:sz w:val="23"/>
                <w:szCs w:val="23"/>
              </w:rPr>
              <w:t>put a hard close on</w:t>
            </w:r>
            <w:r w:rsidR="00810FE8">
              <w:rPr>
                <w:sz w:val="23"/>
                <w:szCs w:val="23"/>
              </w:rPr>
              <w:t xml:space="preserve"> 2024, we will present the committee and board with a 2024 budget</w:t>
            </w:r>
            <w:r w:rsidR="00234B16">
              <w:rPr>
                <w:sz w:val="23"/>
                <w:szCs w:val="23"/>
              </w:rPr>
              <w:t>-</w:t>
            </w:r>
            <w:r w:rsidR="00810FE8">
              <w:rPr>
                <w:sz w:val="23"/>
                <w:szCs w:val="23"/>
              </w:rPr>
              <w:t>to</w:t>
            </w:r>
            <w:r w:rsidR="00234B16">
              <w:rPr>
                <w:sz w:val="23"/>
                <w:szCs w:val="23"/>
              </w:rPr>
              <w:t>-</w:t>
            </w:r>
            <w:r w:rsidR="00810FE8">
              <w:rPr>
                <w:sz w:val="23"/>
                <w:szCs w:val="23"/>
              </w:rPr>
              <w:t xml:space="preserve">actual comparison. </w:t>
            </w:r>
          </w:p>
        </w:tc>
      </w:tr>
      <w:tr w:rsidR="00EF2757" w:rsidRPr="00EF2757" w14:paraId="29A55048" w14:textId="77777777" w:rsidTr="007F2E3D">
        <w:trPr>
          <w:trHeight w:val="908"/>
        </w:trPr>
        <w:tc>
          <w:tcPr>
            <w:tcW w:w="1800" w:type="dxa"/>
            <w:tcBorders>
              <w:top w:val="single" w:sz="4" w:space="0" w:color="auto"/>
              <w:left w:val="single" w:sz="8" w:space="0" w:color="auto"/>
              <w:bottom w:val="single" w:sz="4" w:space="0" w:color="auto"/>
              <w:right w:val="single" w:sz="4" w:space="0" w:color="auto"/>
            </w:tcBorders>
            <w:vAlign w:val="center"/>
          </w:tcPr>
          <w:p w14:paraId="12C35C21" w14:textId="718E5D1A" w:rsidR="00EF2757" w:rsidRPr="00EF2757" w:rsidRDefault="00EF2757" w:rsidP="00234B16">
            <w:pPr>
              <w:spacing w:before="60" w:after="60"/>
              <w:rPr>
                <w:sz w:val="23"/>
                <w:szCs w:val="23"/>
              </w:rPr>
            </w:pPr>
            <w:r w:rsidRPr="00EF2757">
              <w:rPr>
                <w:sz w:val="23"/>
                <w:szCs w:val="23"/>
              </w:rPr>
              <w:t xml:space="preserve">Report on </w:t>
            </w:r>
            <w:r w:rsidR="00234B16">
              <w:rPr>
                <w:sz w:val="23"/>
                <w:szCs w:val="23"/>
              </w:rPr>
              <w:t>Donations</w:t>
            </w:r>
            <w:r w:rsidRPr="00EF2757">
              <w:rPr>
                <w:sz w:val="23"/>
                <w:szCs w:val="23"/>
              </w:rPr>
              <w:t xml:space="preserve"> in 2024</w:t>
            </w:r>
          </w:p>
        </w:tc>
        <w:tc>
          <w:tcPr>
            <w:tcW w:w="12780" w:type="dxa"/>
            <w:gridSpan w:val="2"/>
            <w:tcBorders>
              <w:top w:val="single" w:sz="4" w:space="0" w:color="auto"/>
              <w:left w:val="single" w:sz="4" w:space="0" w:color="auto"/>
              <w:bottom w:val="single" w:sz="4" w:space="0" w:color="auto"/>
            </w:tcBorders>
            <w:vAlign w:val="center"/>
          </w:tcPr>
          <w:p w14:paraId="6BB2138F" w14:textId="32D34C7B" w:rsidR="00EF2757" w:rsidRPr="00EF2757" w:rsidRDefault="00EF2757" w:rsidP="00234B16">
            <w:pPr>
              <w:spacing w:before="120" w:after="120"/>
              <w:rPr>
                <w:sz w:val="23"/>
                <w:szCs w:val="23"/>
              </w:rPr>
            </w:pPr>
            <w:r w:rsidRPr="00EF2757">
              <w:rPr>
                <w:color w:val="000000" w:themeColor="text1"/>
                <w:sz w:val="23"/>
                <w:szCs w:val="23"/>
              </w:rPr>
              <w:t>Claire reported that net proceeds from fundraising efforts in 2024 were equal to $17,396 from CARTS riders (732 donations from 195 donors) and $</w:t>
            </w:r>
            <w:r w:rsidRPr="00EF2757">
              <w:rPr>
                <w:color w:val="000000" w:themeColor="text1"/>
                <w:sz w:val="23"/>
                <w:szCs w:val="23"/>
              </w:rPr>
              <w:t>19,778.67</w:t>
            </w:r>
            <w:r w:rsidRPr="00EF2757">
              <w:rPr>
                <w:color w:val="000000" w:themeColor="text1"/>
                <w:sz w:val="23"/>
                <w:szCs w:val="23"/>
              </w:rPr>
              <w:t xml:space="preserve"> from our fundraising efforts, including the Annual Recognition Event, CARTS Annual Fundraiser, Charity Night at Night School, and End of Year Campaign. </w:t>
            </w:r>
            <w:r w:rsidRPr="00EF2757">
              <w:rPr>
                <w:color w:val="000000" w:themeColor="text1"/>
                <w:sz w:val="23"/>
                <w:szCs w:val="23"/>
              </w:rPr>
              <w:t xml:space="preserve"> </w:t>
            </w:r>
            <w:r w:rsidR="00810FE8">
              <w:rPr>
                <w:color w:val="000000" w:themeColor="text1"/>
                <w:sz w:val="23"/>
                <w:szCs w:val="23"/>
              </w:rPr>
              <w:t xml:space="preserve">The next phase of work will be focused on cultivating individual donors. </w:t>
            </w:r>
          </w:p>
        </w:tc>
      </w:tr>
      <w:tr w:rsidR="002B0A94" w:rsidRPr="00EF2757" w14:paraId="4CD0FF72" w14:textId="77777777" w:rsidTr="007F2E3D">
        <w:trPr>
          <w:trHeight w:val="908"/>
        </w:trPr>
        <w:tc>
          <w:tcPr>
            <w:tcW w:w="1800" w:type="dxa"/>
            <w:tcBorders>
              <w:top w:val="single" w:sz="4" w:space="0" w:color="auto"/>
              <w:left w:val="single" w:sz="8" w:space="0" w:color="auto"/>
              <w:bottom w:val="single" w:sz="4" w:space="0" w:color="auto"/>
              <w:right w:val="single" w:sz="4" w:space="0" w:color="auto"/>
            </w:tcBorders>
            <w:vAlign w:val="center"/>
          </w:tcPr>
          <w:p w14:paraId="307D81DE" w14:textId="3F3CA4C6" w:rsidR="002B0A94" w:rsidRPr="00EF2757" w:rsidRDefault="00EF2757" w:rsidP="00D10134">
            <w:pPr>
              <w:rPr>
                <w:sz w:val="23"/>
                <w:szCs w:val="23"/>
              </w:rPr>
            </w:pPr>
            <w:r w:rsidRPr="00EF2757">
              <w:rPr>
                <w:sz w:val="23"/>
                <w:szCs w:val="23"/>
              </w:rPr>
              <w:t>Audit update</w:t>
            </w:r>
          </w:p>
        </w:tc>
        <w:tc>
          <w:tcPr>
            <w:tcW w:w="12780" w:type="dxa"/>
            <w:gridSpan w:val="2"/>
            <w:tcBorders>
              <w:top w:val="single" w:sz="4" w:space="0" w:color="auto"/>
              <w:left w:val="single" w:sz="4" w:space="0" w:color="auto"/>
              <w:bottom w:val="single" w:sz="4" w:space="0" w:color="auto"/>
            </w:tcBorders>
            <w:vAlign w:val="center"/>
          </w:tcPr>
          <w:p w14:paraId="59EBF98A" w14:textId="2751574B" w:rsidR="00F42C85" w:rsidRPr="00EF2757" w:rsidRDefault="00810FE8" w:rsidP="004C68C3">
            <w:pPr>
              <w:spacing w:before="120" w:after="120"/>
              <w:jc w:val="both"/>
              <w:rPr>
                <w:sz w:val="23"/>
                <w:szCs w:val="23"/>
              </w:rPr>
            </w:pPr>
            <w:r>
              <w:rPr>
                <w:sz w:val="23"/>
                <w:szCs w:val="23"/>
              </w:rPr>
              <w:t xml:space="preserve">Jack advised the Committee that he has been </w:t>
            </w:r>
            <w:r w:rsidR="00234B16">
              <w:rPr>
                <w:sz w:val="23"/>
                <w:szCs w:val="23"/>
              </w:rPr>
              <w:t>part of</w:t>
            </w:r>
            <w:r>
              <w:rPr>
                <w:sz w:val="23"/>
                <w:szCs w:val="23"/>
              </w:rPr>
              <w:t xml:space="preserve"> the conversations about the annual audit and can report that it is on track.  We will be working with Mike Vollmer and his team from Bonadio, who have sent an engagement letter that Claire will circulate to the </w:t>
            </w:r>
            <w:r w:rsidR="00234B16">
              <w:rPr>
                <w:sz w:val="23"/>
                <w:szCs w:val="23"/>
              </w:rPr>
              <w:t>E</w:t>
            </w:r>
            <w:r>
              <w:rPr>
                <w:sz w:val="23"/>
                <w:szCs w:val="23"/>
              </w:rPr>
              <w:t xml:space="preserve">ntire </w:t>
            </w:r>
            <w:r w:rsidR="00234B16">
              <w:rPr>
                <w:sz w:val="23"/>
                <w:szCs w:val="23"/>
              </w:rPr>
              <w:t>B</w:t>
            </w:r>
            <w:r>
              <w:rPr>
                <w:sz w:val="23"/>
                <w:szCs w:val="23"/>
              </w:rPr>
              <w:t>oard</w:t>
            </w:r>
            <w:r w:rsidR="00234B16">
              <w:rPr>
                <w:sz w:val="23"/>
                <w:szCs w:val="23"/>
              </w:rPr>
              <w:t xml:space="preserve">; further, Mike will be presenting to the Board at its February meeting.  Greg and Claire are scheduled to meet with the team in the first week of February and will be submitting </w:t>
            </w:r>
            <w:proofErr w:type="gramStart"/>
            <w:r w:rsidR="00234B16">
              <w:rPr>
                <w:sz w:val="23"/>
                <w:szCs w:val="23"/>
              </w:rPr>
              <w:t>a number of</w:t>
            </w:r>
            <w:proofErr w:type="gramEnd"/>
            <w:r w:rsidR="00234B16">
              <w:rPr>
                <w:sz w:val="23"/>
                <w:szCs w:val="23"/>
              </w:rPr>
              <w:t xml:space="preserve"> materials by the end of that first week as well. Preliminary work is scheduled for February 13th and 14</w:t>
            </w:r>
            <w:r w:rsidR="00234B16" w:rsidRPr="00234B16">
              <w:rPr>
                <w:sz w:val="23"/>
                <w:szCs w:val="23"/>
                <w:vertAlign w:val="superscript"/>
              </w:rPr>
              <w:t>th</w:t>
            </w:r>
            <w:r w:rsidR="00234B16">
              <w:rPr>
                <w:sz w:val="23"/>
                <w:szCs w:val="23"/>
              </w:rPr>
              <w:t xml:space="preserve"> and </w:t>
            </w:r>
            <w:r w:rsidR="00234B16">
              <w:rPr>
                <w:sz w:val="23"/>
                <w:szCs w:val="23"/>
              </w:rPr>
              <w:t>“</w:t>
            </w:r>
            <w:r w:rsidR="00234B16">
              <w:rPr>
                <w:sz w:val="23"/>
                <w:szCs w:val="23"/>
              </w:rPr>
              <w:t>t</w:t>
            </w:r>
            <w:r w:rsidR="00234B16">
              <w:rPr>
                <w:sz w:val="23"/>
                <w:szCs w:val="23"/>
              </w:rPr>
              <w:t xml:space="preserve">ablework” (i.e. remote fieldwork) </w:t>
            </w:r>
            <w:r w:rsidR="00234B16">
              <w:rPr>
                <w:sz w:val="23"/>
                <w:szCs w:val="23"/>
              </w:rPr>
              <w:t>for the week of April 28</w:t>
            </w:r>
            <w:r w:rsidR="00234B16" w:rsidRPr="00234B16">
              <w:rPr>
                <w:sz w:val="23"/>
                <w:szCs w:val="23"/>
                <w:vertAlign w:val="superscript"/>
              </w:rPr>
              <w:t>th</w:t>
            </w:r>
            <w:r w:rsidR="00234B16">
              <w:rPr>
                <w:sz w:val="23"/>
                <w:szCs w:val="23"/>
              </w:rPr>
              <w:t xml:space="preserve">.  The goal is for the audited financial statements and 990 to be presented to the Board at its June meeting or, at </w:t>
            </w:r>
            <w:proofErr w:type="gramStart"/>
            <w:r w:rsidR="00234B16">
              <w:rPr>
                <w:sz w:val="23"/>
                <w:szCs w:val="23"/>
              </w:rPr>
              <w:t>latest</w:t>
            </w:r>
            <w:proofErr w:type="gramEnd"/>
            <w:r w:rsidR="00234B16">
              <w:rPr>
                <w:sz w:val="23"/>
                <w:szCs w:val="23"/>
              </w:rPr>
              <w:t xml:space="preserve">, in August. </w:t>
            </w:r>
            <w:r>
              <w:rPr>
                <w:sz w:val="23"/>
                <w:szCs w:val="23"/>
              </w:rPr>
              <w:t xml:space="preserve"> </w:t>
            </w:r>
          </w:p>
        </w:tc>
      </w:tr>
      <w:tr w:rsidR="00E93804" w:rsidRPr="00EF2757" w14:paraId="03BC11A6" w14:textId="77777777" w:rsidTr="00C858C7">
        <w:trPr>
          <w:trHeight w:val="377"/>
        </w:trPr>
        <w:tc>
          <w:tcPr>
            <w:tcW w:w="1800" w:type="dxa"/>
            <w:tcBorders>
              <w:top w:val="single" w:sz="4" w:space="0" w:color="auto"/>
              <w:left w:val="single" w:sz="8" w:space="0" w:color="auto"/>
              <w:bottom w:val="single" w:sz="4" w:space="0" w:color="auto"/>
              <w:right w:val="single" w:sz="4" w:space="0" w:color="auto"/>
            </w:tcBorders>
            <w:vAlign w:val="center"/>
          </w:tcPr>
          <w:p w14:paraId="17C62A11" w14:textId="77777777" w:rsidR="00E93804" w:rsidRPr="00EF2757" w:rsidRDefault="00E93804" w:rsidP="00E93804">
            <w:pPr>
              <w:jc w:val="both"/>
              <w:rPr>
                <w:sz w:val="23"/>
                <w:szCs w:val="23"/>
              </w:rPr>
            </w:pPr>
            <w:r w:rsidRPr="00EF2757">
              <w:rPr>
                <w:sz w:val="23"/>
                <w:szCs w:val="23"/>
              </w:rPr>
              <w:t>Next meeting</w:t>
            </w:r>
          </w:p>
        </w:tc>
        <w:tc>
          <w:tcPr>
            <w:tcW w:w="12780" w:type="dxa"/>
            <w:gridSpan w:val="2"/>
            <w:tcBorders>
              <w:top w:val="single" w:sz="4" w:space="0" w:color="auto"/>
              <w:left w:val="single" w:sz="4" w:space="0" w:color="auto"/>
              <w:bottom w:val="single" w:sz="4" w:space="0" w:color="auto"/>
            </w:tcBorders>
            <w:vAlign w:val="center"/>
          </w:tcPr>
          <w:p w14:paraId="28489655" w14:textId="76ED5307" w:rsidR="00E93804" w:rsidRPr="00EF2757" w:rsidRDefault="00E93804" w:rsidP="00EE2E32">
            <w:pPr>
              <w:spacing w:before="120" w:after="120"/>
              <w:jc w:val="both"/>
              <w:rPr>
                <w:b/>
                <w:sz w:val="23"/>
                <w:szCs w:val="23"/>
              </w:rPr>
            </w:pPr>
            <w:r w:rsidRPr="00EF2757">
              <w:rPr>
                <w:b/>
                <w:sz w:val="23"/>
                <w:szCs w:val="23"/>
              </w:rPr>
              <w:t xml:space="preserve">Date, Time &amp; Location:  Tuesday, </w:t>
            </w:r>
            <w:r w:rsidR="00EF2757">
              <w:rPr>
                <w:b/>
                <w:sz w:val="23"/>
                <w:szCs w:val="23"/>
              </w:rPr>
              <w:t>March 25th</w:t>
            </w:r>
            <w:r w:rsidR="00E9597D" w:rsidRPr="00EF2757">
              <w:rPr>
                <w:b/>
                <w:sz w:val="23"/>
                <w:szCs w:val="23"/>
              </w:rPr>
              <w:t xml:space="preserve"> </w:t>
            </w:r>
            <w:r w:rsidRPr="00EF2757">
              <w:rPr>
                <w:b/>
                <w:sz w:val="23"/>
                <w:szCs w:val="23"/>
              </w:rPr>
              <w:t>at 3:00 p.m., via Zoom</w:t>
            </w:r>
          </w:p>
        </w:tc>
      </w:tr>
    </w:tbl>
    <w:p w14:paraId="60FDCDD1" w14:textId="77777777" w:rsidR="00385B16" w:rsidRPr="00EF2757" w:rsidRDefault="00385B16" w:rsidP="00B77A95">
      <w:pPr>
        <w:jc w:val="both"/>
        <w:rPr>
          <w:sz w:val="23"/>
          <w:szCs w:val="23"/>
        </w:rPr>
      </w:pPr>
    </w:p>
    <w:sectPr w:rsidR="00385B16" w:rsidRPr="00EF2757"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D687" w14:textId="77777777" w:rsidR="00987979" w:rsidRDefault="00987979" w:rsidP="00A96EC7">
      <w:r>
        <w:separator/>
      </w:r>
    </w:p>
  </w:endnote>
  <w:endnote w:type="continuationSeparator" w:id="0">
    <w:p w14:paraId="5842433B" w14:textId="77777777"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8AE2" w14:textId="77777777" w:rsidR="00987979" w:rsidRDefault="00987979" w:rsidP="00A96EC7">
      <w:r>
        <w:separator/>
      </w:r>
    </w:p>
  </w:footnote>
  <w:footnote w:type="continuationSeparator" w:id="0">
    <w:p w14:paraId="26618C30" w14:textId="77777777"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616"/>
    <w:multiLevelType w:val="multilevel"/>
    <w:tmpl w:val="0228FC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0574139">
    <w:abstractNumId w:val="4"/>
  </w:num>
  <w:num w:numId="2" w16cid:durableId="1419710467">
    <w:abstractNumId w:val="8"/>
  </w:num>
  <w:num w:numId="3" w16cid:durableId="1222060395">
    <w:abstractNumId w:val="10"/>
  </w:num>
  <w:num w:numId="4" w16cid:durableId="1969045210">
    <w:abstractNumId w:val="1"/>
  </w:num>
  <w:num w:numId="5" w16cid:durableId="1921668859">
    <w:abstractNumId w:val="14"/>
  </w:num>
  <w:num w:numId="6" w16cid:durableId="441806706">
    <w:abstractNumId w:val="16"/>
  </w:num>
  <w:num w:numId="7" w16cid:durableId="330448514">
    <w:abstractNumId w:val="12"/>
  </w:num>
  <w:num w:numId="8" w16cid:durableId="1454523554">
    <w:abstractNumId w:val="11"/>
  </w:num>
  <w:num w:numId="9" w16cid:durableId="1030572327">
    <w:abstractNumId w:val="25"/>
  </w:num>
  <w:num w:numId="10" w16cid:durableId="1811433736">
    <w:abstractNumId w:val="18"/>
  </w:num>
  <w:num w:numId="11" w16cid:durableId="47531654">
    <w:abstractNumId w:val="17"/>
  </w:num>
  <w:num w:numId="12" w16cid:durableId="915936982">
    <w:abstractNumId w:val="24"/>
  </w:num>
  <w:num w:numId="13" w16cid:durableId="1961572753">
    <w:abstractNumId w:val="23"/>
  </w:num>
  <w:num w:numId="14" w16cid:durableId="469790516">
    <w:abstractNumId w:val="19"/>
  </w:num>
  <w:num w:numId="15" w16cid:durableId="1451434070">
    <w:abstractNumId w:val="7"/>
  </w:num>
  <w:num w:numId="16" w16cid:durableId="176509635">
    <w:abstractNumId w:val="2"/>
  </w:num>
  <w:num w:numId="17" w16cid:durableId="1761831313">
    <w:abstractNumId w:val="13"/>
  </w:num>
  <w:num w:numId="18" w16cid:durableId="1824614841">
    <w:abstractNumId w:val="15"/>
  </w:num>
  <w:num w:numId="19" w16cid:durableId="669676515">
    <w:abstractNumId w:val="22"/>
  </w:num>
  <w:num w:numId="20" w16cid:durableId="1725331833">
    <w:abstractNumId w:val="20"/>
  </w:num>
  <w:num w:numId="21" w16cid:durableId="849027881">
    <w:abstractNumId w:val="21"/>
  </w:num>
  <w:num w:numId="22" w16cid:durableId="1854228089">
    <w:abstractNumId w:val="6"/>
  </w:num>
  <w:num w:numId="23" w16cid:durableId="1932621940">
    <w:abstractNumId w:val="3"/>
  </w:num>
  <w:num w:numId="24" w16cid:durableId="1569808233">
    <w:abstractNumId w:val="5"/>
  </w:num>
  <w:num w:numId="25" w16cid:durableId="256058605">
    <w:abstractNumId w:val="9"/>
  </w:num>
  <w:num w:numId="26" w16cid:durableId="16733328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29"/>
    <w:rsid w:val="00006A76"/>
    <w:rsid w:val="00020DBD"/>
    <w:rsid w:val="00022DBA"/>
    <w:rsid w:val="00023E7B"/>
    <w:rsid w:val="0002536C"/>
    <w:rsid w:val="00026EB6"/>
    <w:rsid w:val="00031A09"/>
    <w:rsid w:val="00037A04"/>
    <w:rsid w:val="00054DCF"/>
    <w:rsid w:val="00056810"/>
    <w:rsid w:val="00062538"/>
    <w:rsid w:val="00064B5F"/>
    <w:rsid w:val="00071F28"/>
    <w:rsid w:val="000812A9"/>
    <w:rsid w:val="00081710"/>
    <w:rsid w:val="00082DA3"/>
    <w:rsid w:val="0009460C"/>
    <w:rsid w:val="000963AD"/>
    <w:rsid w:val="00097F59"/>
    <w:rsid w:val="000A2D35"/>
    <w:rsid w:val="000B6C5C"/>
    <w:rsid w:val="000B6DD7"/>
    <w:rsid w:val="000C2104"/>
    <w:rsid w:val="000D6920"/>
    <w:rsid w:val="000E1E5A"/>
    <w:rsid w:val="000F00C1"/>
    <w:rsid w:val="000F0E3D"/>
    <w:rsid w:val="000F12B2"/>
    <w:rsid w:val="0010366B"/>
    <w:rsid w:val="00106FC7"/>
    <w:rsid w:val="001110DB"/>
    <w:rsid w:val="00112DBB"/>
    <w:rsid w:val="001255F4"/>
    <w:rsid w:val="001274CB"/>
    <w:rsid w:val="00132B0A"/>
    <w:rsid w:val="001369A6"/>
    <w:rsid w:val="001515B8"/>
    <w:rsid w:val="00151D8B"/>
    <w:rsid w:val="001813A1"/>
    <w:rsid w:val="001852F8"/>
    <w:rsid w:val="00185FE8"/>
    <w:rsid w:val="001911CB"/>
    <w:rsid w:val="001A7704"/>
    <w:rsid w:val="001C7D8A"/>
    <w:rsid w:val="001D6095"/>
    <w:rsid w:val="001E0050"/>
    <w:rsid w:val="001F64E2"/>
    <w:rsid w:val="001F6B9E"/>
    <w:rsid w:val="002061BD"/>
    <w:rsid w:val="00207444"/>
    <w:rsid w:val="00210C29"/>
    <w:rsid w:val="002122E5"/>
    <w:rsid w:val="00212943"/>
    <w:rsid w:val="002132A6"/>
    <w:rsid w:val="00222A6E"/>
    <w:rsid w:val="00234B16"/>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0A94"/>
    <w:rsid w:val="002B15C0"/>
    <w:rsid w:val="002B263C"/>
    <w:rsid w:val="002B6DEC"/>
    <w:rsid w:val="002B78E6"/>
    <w:rsid w:val="002C083B"/>
    <w:rsid w:val="002C09CF"/>
    <w:rsid w:val="002C0B80"/>
    <w:rsid w:val="002C4573"/>
    <w:rsid w:val="002E2F64"/>
    <w:rsid w:val="002E630C"/>
    <w:rsid w:val="002E7455"/>
    <w:rsid w:val="00303441"/>
    <w:rsid w:val="0030688B"/>
    <w:rsid w:val="00307AF5"/>
    <w:rsid w:val="003128AC"/>
    <w:rsid w:val="003164C2"/>
    <w:rsid w:val="00342789"/>
    <w:rsid w:val="00344810"/>
    <w:rsid w:val="00350A8C"/>
    <w:rsid w:val="00352709"/>
    <w:rsid w:val="00361A2F"/>
    <w:rsid w:val="003624D1"/>
    <w:rsid w:val="00372BD2"/>
    <w:rsid w:val="00375A5F"/>
    <w:rsid w:val="00384A05"/>
    <w:rsid w:val="00385B16"/>
    <w:rsid w:val="003918B4"/>
    <w:rsid w:val="00395E82"/>
    <w:rsid w:val="003A1110"/>
    <w:rsid w:val="003A2E4C"/>
    <w:rsid w:val="003D134B"/>
    <w:rsid w:val="003D5D2B"/>
    <w:rsid w:val="003E0374"/>
    <w:rsid w:val="003E12FA"/>
    <w:rsid w:val="003F79C4"/>
    <w:rsid w:val="00412DDD"/>
    <w:rsid w:val="00413C58"/>
    <w:rsid w:val="004159EC"/>
    <w:rsid w:val="00420127"/>
    <w:rsid w:val="00420CFD"/>
    <w:rsid w:val="00421F8B"/>
    <w:rsid w:val="00423864"/>
    <w:rsid w:val="00453765"/>
    <w:rsid w:val="00467110"/>
    <w:rsid w:val="004722BA"/>
    <w:rsid w:val="00472B51"/>
    <w:rsid w:val="00475C88"/>
    <w:rsid w:val="004760AF"/>
    <w:rsid w:val="00482802"/>
    <w:rsid w:val="004A0F63"/>
    <w:rsid w:val="004A10B9"/>
    <w:rsid w:val="004A36AB"/>
    <w:rsid w:val="004C104F"/>
    <w:rsid w:val="004C488F"/>
    <w:rsid w:val="004C68C3"/>
    <w:rsid w:val="004E0E27"/>
    <w:rsid w:val="004E0E7A"/>
    <w:rsid w:val="004E1D4A"/>
    <w:rsid w:val="004E41EF"/>
    <w:rsid w:val="004F7032"/>
    <w:rsid w:val="0050320B"/>
    <w:rsid w:val="00515E81"/>
    <w:rsid w:val="00531541"/>
    <w:rsid w:val="00536584"/>
    <w:rsid w:val="00547066"/>
    <w:rsid w:val="005509C2"/>
    <w:rsid w:val="0055133D"/>
    <w:rsid w:val="00551482"/>
    <w:rsid w:val="005523B9"/>
    <w:rsid w:val="00564F43"/>
    <w:rsid w:val="00567CEF"/>
    <w:rsid w:val="00575593"/>
    <w:rsid w:val="0058159F"/>
    <w:rsid w:val="00583F29"/>
    <w:rsid w:val="00591B6F"/>
    <w:rsid w:val="00596BFF"/>
    <w:rsid w:val="005A25ED"/>
    <w:rsid w:val="005B073F"/>
    <w:rsid w:val="005B4AC3"/>
    <w:rsid w:val="005B7F51"/>
    <w:rsid w:val="005C1500"/>
    <w:rsid w:val="005C3426"/>
    <w:rsid w:val="005C3C63"/>
    <w:rsid w:val="005C6D89"/>
    <w:rsid w:val="005D783D"/>
    <w:rsid w:val="005E61DA"/>
    <w:rsid w:val="005E7D1E"/>
    <w:rsid w:val="005F21DD"/>
    <w:rsid w:val="005F7762"/>
    <w:rsid w:val="00601B1D"/>
    <w:rsid w:val="00607F12"/>
    <w:rsid w:val="00610D23"/>
    <w:rsid w:val="0061327C"/>
    <w:rsid w:val="0062335B"/>
    <w:rsid w:val="00632D9F"/>
    <w:rsid w:val="00646DDE"/>
    <w:rsid w:val="006472C0"/>
    <w:rsid w:val="0065096F"/>
    <w:rsid w:val="00655166"/>
    <w:rsid w:val="0066211B"/>
    <w:rsid w:val="006764D2"/>
    <w:rsid w:val="00690525"/>
    <w:rsid w:val="00694DA0"/>
    <w:rsid w:val="006B0651"/>
    <w:rsid w:val="006B74FA"/>
    <w:rsid w:val="006C0E61"/>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85777"/>
    <w:rsid w:val="007864DF"/>
    <w:rsid w:val="00792FEB"/>
    <w:rsid w:val="00796B31"/>
    <w:rsid w:val="007978F1"/>
    <w:rsid w:val="007C767E"/>
    <w:rsid w:val="007D1B36"/>
    <w:rsid w:val="007D3B9E"/>
    <w:rsid w:val="007D77E8"/>
    <w:rsid w:val="007E15C2"/>
    <w:rsid w:val="007E43C8"/>
    <w:rsid w:val="007F2E3D"/>
    <w:rsid w:val="007F6823"/>
    <w:rsid w:val="007F6BC1"/>
    <w:rsid w:val="00810247"/>
    <w:rsid w:val="00810FE8"/>
    <w:rsid w:val="00820CBF"/>
    <w:rsid w:val="00832D28"/>
    <w:rsid w:val="00835CE2"/>
    <w:rsid w:val="00843353"/>
    <w:rsid w:val="00847547"/>
    <w:rsid w:val="00855300"/>
    <w:rsid w:val="00857B05"/>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560"/>
    <w:rsid w:val="00921C0E"/>
    <w:rsid w:val="009232D6"/>
    <w:rsid w:val="009333B2"/>
    <w:rsid w:val="00941F5A"/>
    <w:rsid w:val="00943D31"/>
    <w:rsid w:val="00953D51"/>
    <w:rsid w:val="00967BE0"/>
    <w:rsid w:val="00971B37"/>
    <w:rsid w:val="00982840"/>
    <w:rsid w:val="0098725F"/>
    <w:rsid w:val="00987979"/>
    <w:rsid w:val="00990131"/>
    <w:rsid w:val="00990FBF"/>
    <w:rsid w:val="009B0343"/>
    <w:rsid w:val="009B1E1A"/>
    <w:rsid w:val="009C2995"/>
    <w:rsid w:val="009C4F61"/>
    <w:rsid w:val="009C541E"/>
    <w:rsid w:val="009C6577"/>
    <w:rsid w:val="009D18D2"/>
    <w:rsid w:val="009E292C"/>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759EA"/>
    <w:rsid w:val="00A806B4"/>
    <w:rsid w:val="00A82A4A"/>
    <w:rsid w:val="00A96EC7"/>
    <w:rsid w:val="00AA4696"/>
    <w:rsid w:val="00AA7D23"/>
    <w:rsid w:val="00AA7FD2"/>
    <w:rsid w:val="00AB137D"/>
    <w:rsid w:val="00AB5968"/>
    <w:rsid w:val="00AC7FEE"/>
    <w:rsid w:val="00AE39BD"/>
    <w:rsid w:val="00AE50EC"/>
    <w:rsid w:val="00AF0735"/>
    <w:rsid w:val="00AF3247"/>
    <w:rsid w:val="00AF3F6B"/>
    <w:rsid w:val="00AF5F37"/>
    <w:rsid w:val="00AF728C"/>
    <w:rsid w:val="00B006C9"/>
    <w:rsid w:val="00B031B8"/>
    <w:rsid w:val="00B070AB"/>
    <w:rsid w:val="00B13FB5"/>
    <w:rsid w:val="00B241BE"/>
    <w:rsid w:val="00B30CCD"/>
    <w:rsid w:val="00B37260"/>
    <w:rsid w:val="00B416B5"/>
    <w:rsid w:val="00B44232"/>
    <w:rsid w:val="00B50218"/>
    <w:rsid w:val="00B50F4B"/>
    <w:rsid w:val="00B568C6"/>
    <w:rsid w:val="00B57C39"/>
    <w:rsid w:val="00B60BAB"/>
    <w:rsid w:val="00B61EBD"/>
    <w:rsid w:val="00B708DF"/>
    <w:rsid w:val="00B71B2B"/>
    <w:rsid w:val="00B7365D"/>
    <w:rsid w:val="00B75C3E"/>
    <w:rsid w:val="00B77A95"/>
    <w:rsid w:val="00B816D9"/>
    <w:rsid w:val="00B93F06"/>
    <w:rsid w:val="00B94A16"/>
    <w:rsid w:val="00B956A7"/>
    <w:rsid w:val="00B9717B"/>
    <w:rsid w:val="00BA6C7F"/>
    <w:rsid w:val="00BB14A1"/>
    <w:rsid w:val="00BC050C"/>
    <w:rsid w:val="00BC4A47"/>
    <w:rsid w:val="00BC5F08"/>
    <w:rsid w:val="00BC6402"/>
    <w:rsid w:val="00BC6AB1"/>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858C7"/>
    <w:rsid w:val="00C95C54"/>
    <w:rsid w:val="00CA7BEE"/>
    <w:rsid w:val="00CB60CB"/>
    <w:rsid w:val="00CC293F"/>
    <w:rsid w:val="00CC41D1"/>
    <w:rsid w:val="00CE1DBC"/>
    <w:rsid w:val="00CE644A"/>
    <w:rsid w:val="00CF09A1"/>
    <w:rsid w:val="00CF5556"/>
    <w:rsid w:val="00D01490"/>
    <w:rsid w:val="00D069AE"/>
    <w:rsid w:val="00D10134"/>
    <w:rsid w:val="00D12FA2"/>
    <w:rsid w:val="00D13E2B"/>
    <w:rsid w:val="00D14318"/>
    <w:rsid w:val="00D1521A"/>
    <w:rsid w:val="00D15530"/>
    <w:rsid w:val="00D2044F"/>
    <w:rsid w:val="00D46062"/>
    <w:rsid w:val="00D54FD3"/>
    <w:rsid w:val="00D70608"/>
    <w:rsid w:val="00D81200"/>
    <w:rsid w:val="00D81935"/>
    <w:rsid w:val="00D81AA6"/>
    <w:rsid w:val="00D90BFB"/>
    <w:rsid w:val="00D94F56"/>
    <w:rsid w:val="00D96FF1"/>
    <w:rsid w:val="00DA2F4A"/>
    <w:rsid w:val="00DA6950"/>
    <w:rsid w:val="00DB62FF"/>
    <w:rsid w:val="00DD6CB2"/>
    <w:rsid w:val="00DF58E0"/>
    <w:rsid w:val="00E15289"/>
    <w:rsid w:val="00E40D99"/>
    <w:rsid w:val="00E455C8"/>
    <w:rsid w:val="00E637F7"/>
    <w:rsid w:val="00E63DA7"/>
    <w:rsid w:val="00E63E10"/>
    <w:rsid w:val="00E722FC"/>
    <w:rsid w:val="00E81E94"/>
    <w:rsid w:val="00E91034"/>
    <w:rsid w:val="00E917BE"/>
    <w:rsid w:val="00E93804"/>
    <w:rsid w:val="00E9597D"/>
    <w:rsid w:val="00EA0224"/>
    <w:rsid w:val="00EA15EF"/>
    <w:rsid w:val="00EB00F8"/>
    <w:rsid w:val="00EB0D94"/>
    <w:rsid w:val="00EB380D"/>
    <w:rsid w:val="00EB6FD4"/>
    <w:rsid w:val="00EC3403"/>
    <w:rsid w:val="00EC75A2"/>
    <w:rsid w:val="00ED0B02"/>
    <w:rsid w:val="00ED4A58"/>
    <w:rsid w:val="00ED70B1"/>
    <w:rsid w:val="00ED7160"/>
    <w:rsid w:val="00EE2E32"/>
    <w:rsid w:val="00EF2757"/>
    <w:rsid w:val="00EF357D"/>
    <w:rsid w:val="00F007AD"/>
    <w:rsid w:val="00F01099"/>
    <w:rsid w:val="00F10E81"/>
    <w:rsid w:val="00F209EB"/>
    <w:rsid w:val="00F20BC1"/>
    <w:rsid w:val="00F2179B"/>
    <w:rsid w:val="00F21962"/>
    <w:rsid w:val="00F25001"/>
    <w:rsid w:val="00F42C85"/>
    <w:rsid w:val="00F43C7F"/>
    <w:rsid w:val="00F53027"/>
    <w:rsid w:val="00F5638E"/>
    <w:rsid w:val="00F6297B"/>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0010"/>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0037">
      <w:bodyDiv w:val="1"/>
      <w:marLeft w:val="0"/>
      <w:marRight w:val="0"/>
      <w:marTop w:val="0"/>
      <w:marBottom w:val="0"/>
      <w:divBdr>
        <w:top w:val="none" w:sz="0" w:space="0" w:color="auto"/>
        <w:left w:val="none" w:sz="0" w:space="0" w:color="auto"/>
        <w:bottom w:val="none" w:sz="0" w:space="0" w:color="auto"/>
        <w:right w:val="none" w:sz="0" w:space="0" w:color="auto"/>
      </w:divBdr>
    </w:div>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35199979">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5873-3E05-436D-B2BB-610BA80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2025-01-29T23:33:00Z</dcterms:created>
  <dcterms:modified xsi:type="dcterms:W3CDTF">2025-01-29T23:33:00Z</dcterms:modified>
</cp:coreProperties>
</file>